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846" w:rsidRPr="00575846" w:rsidRDefault="006C4C4B" w:rsidP="00575846">
      <w:pPr>
        <w:spacing w:after="360" w:line="240" w:lineRule="auto"/>
        <w:jc w:val="center"/>
        <w:rPr>
          <w:rFonts w:ascii="Helvetica" w:eastAsia="Times New Roman" w:hAnsi="Helvetica" w:cs="Helvetica"/>
          <w:color w:val="444444"/>
          <w:sz w:val="40"/>
          <w:szCs w:val="40"/>
          <w:lang w:eastAsia="es-ES"/>
        </w:rPr>
      </w:pPr>
      <w:r>
        <w:rPr>
          <w:rFonts w:ascii="Helvetica" w:hAnsi="Helvetica" w:cs="Helvetica"/>
          <w:color w:val="444444"/>
          <w:sz w:val="40"/>
          <w:szCs w:val="40"/>
        </w:rPr>
        <w:t>MANTENIMIENTO DE EXTINTORES PORTÁTILES</w:t>
      </w:r>
    </w:p>
    <w:p w:rsidR="005436F0" w:rsidRDefault="005436F0" w:rsidP="00B604C5">
      <w:pPr>
        <w:spacing w:after="360" w:line="240" w:lineRule="auto"/>
        <w:jc w:val="both"/>
        <w:rPr>
          <w:rFonts w:ascii="Helvetica" w:eastAsia="Times New Roman" w:hAnsi="Helvetica" w:cs="Helvetica"/>
          <w:color w:val="444444"/>
          <w:sz w:val="21"/>
          <w:szCs w:val="21"/>
          <w:lang w:eastAsia="es-ES"/>
        </w:rPr>
      </w:pPr>
    </w:p>
    <w:p w:rsidR="00B604C5" w:rsidRDefault="00B604C5" w:rsidP="00B604C5">
      <w:pPr>
        <w:spacing w:after="360" w:line="240" w:lineRule="auto"/>
        <w:jc w:val="both"/>
        <w:rPr>
          <w:rFonts w:ascii="Helvetica" w:eastAsia="Times New Roman" w:hAnsi="Helvetica" w:cs="Helvetica"/>
          <w:color w:val="444444"/>
          <w:sz w:val="21"/>
          <w:szCs w:val="21"/>
          <w:lang w:eastAsia="es-ES"/>
        </w:rPr>
      </w:pPr>
      <w:r>
        <w:rPr>
          <w:rFonts w:ascii="Helvetica" w:eastAsia="Times New Roman" w:hAnsi="Helvetica" w:cs="Helvetica"/>
          <w:color w:val="444444"/>
          <w:sz w:val="21"/>
          <w:szCs w:val="21"/>
          <w:lang w:eastAsia="es-ES"/>
        </w:rPr>
        <w:t>En la Orden 9961 de 16 de abril de 1998, se especifican las operaciones</w:t>
      </w:r>
      <w:r w:rsidR="002D4750">
        <w:rPr>
          <w:rFonts w:ascii="Helvetica" w:eastAsia="Times New Roman" w:hAnsi="Helvetica" w:cs="Helvetica"/>
          <w:color w:val="444444"/>
          <w:sz w:val="21"/>
          <w:szCs w:val="21"/>
          <w:lang w:eastAsia="es-ES"/>
        </w:rPr>
        <w:t xml:space="preserve"> de mantenimiento</w:t>
      </w:r>
      <w:r>
        <w:rPr>
          <w:rFonts w:ascii="Helvetica" w:eastAsia="Times New Roman" w:hAnsi="Helvetica" w:cs="Helvetica"/>
          <w:color w:val="444444"/>
          <w:sz w:val="21"/>
          <w:szCs w:val="21"/>
          <w:lang w:eastAsia="es-ES"/>
        </w:rPr>
        <w:t xml:space="preserve"> a realizar por personal especializado del fabricante o instalador del equipo o sistema o por el personal de la empresa mantenedora autorizada.</w:t>
      </w:r>
    </w:p>
    <w:p w:rsidR="005436F0" w:rsidRPr="002D4750" w:rsidRDefault="005436F0" w:rsidP="00B604C5">
      <w:pPr>
        <w:spacing w:after="360" w:line="240" w:lineRule="auto"/>
        <w:jc w:val="both"/>
        <w:rPr>
          <w:rFonts w:ascii="Helvetica" w:eastAsia="Times New Roman" w:hAnsi="Helvetica" w:cs="Helvetica"/>
          <w:b/>
          <w:color w:val="444444"/>
          <w:lang w:eastAsia="es-ES"/>
        </w:rPr>
      </w:pPr>
      <w:r w:rsidRPr="002D4750">
        <w:rPr>
          <w:rFonts w:ascii="Helvetica" w:eastAsia="Times New Roman" w:hAnsi="Helvetica" w:cs="Helvetica"/>
          <w:b/>
          <w:color w:val="444444"/>
          <w:lang w:eastAsia="es-ES"/>
        </w:rPr>
        <w:t>Cada tres meses:</w:t>
      </w:r>
    </w:p>
    <w:p w:rsidR="005436F0" w:rsidRDefault="005436F0" w:rsidP="00B604C5">
      <w:pPr>
        <w:spacing w:after="360" w:line="240" w:lineRule="auto"/>
        <w:jc w:val="both"/>
        <w:rPr>
          <w:rFonts w:ascii="Helvetica" w:eastAsia="Times New Roman" w:hAnsi="Helvetica" w:cs="Helvetica"/>
          <w:color w:val="444444"/>
          <w:lang w:eastAsia="es-ES"/>
        </w:rPr>
      </w:pPr>
      <w:r>
        <w:rPr>
          <w:rFonts w:ascii="Helvetica" w:eastAsia="Times New Roman" w:hAnsi="Helvetica" w:cs="Helvetica"/>
          <w:color w:val="444444"/>
          <w:lang w:eastAsia="es-ES"/>
        </w:rPr>
        <w:t>Comprobación de la accesibilidad, señalización, buen estado aparente de conservación.</w:t>
      </w:r>
    </w:p>
    <w:p w:rsidR="002D6DE7" w:rsidRDefault="002D6DE7" w:rsidP="00B604C5">
      <w:pPr>
        <w:spacing w:after="360" w:line="240" w:lineRule="auto"/>
        <w:jc w:val="both"/>
        <w:rPr>
          <w:rFonts w:ascii="Helvetica" w:eastAsia="Times New Roman" w:hAnsi="Helvetica" w:cs="Helvetica"/>
          <w:color w:val="444444"/>
          <w:lang w:eastAsia="es-ES"/>
        </w:rPr>
      </w:pPr>
      <w:r>
        <w:rPr>
          <w:rFonts w:ascii="Helvetica" w:eastAsia="Times New Roman" w:hAnsi="Helvetica" w:cs="Helvetica"/>
          <w:color w:val="444444"/>
          <w:lang w:eastAsia="es-ES"/>
        </w:rPr>
        <w:t>(Deberán estar fácilmente accesibles, próximos a puntos de riesgo de incendios y a las salidas. Su instalación será preferentemente en paramentos verticales, con la parte superior, como máximo a 1,70 m del suelo</w:t>
      </w:r>
      <w:r w:rsidR="002D4750">
        <w:rPr>
          <w:rFonts w:ascii="Helvetica" w:eastAsia="Times New Roman" w:hAnsi="Helvetica" w:cs="Helvetica"/>
          <w:color w:val="444444"/>
          <w:lang w:eastAsia="es-ES"/>
        </w:rPr>
        <w:t>)</w:t>
      </w:r>
      <w:r>
        <w:rPr>
          <w:rFonts w:ascii="Helvetica" w:eastAsia="Times New Roman" w:hAnsi="Helvetica" w:cs="Helvetica"/>
          <w:color w:val="444444"/>
          <w:lang w:eastAsia="es-ES"/>
        </w:rPr>
        <w:t>.</w:t>
      </w:r>
    </w:p>
    <w:p w:rsidR="005436F0" w:rsidRDefault="005436F0" w:rsidP="00B604C5">
      <w:pPr>
        <w:spacing w:after="360" w:line="240" w:lineRule="auto"/>
        <w:jc w:val="both"/>
        <w:rPr>
          <w:rFonts w:ascii="Helvetica" w:eastAsia="Times New Roman" w:hAnsi="Helvetica" w:cs="Helvetica"/>
          <w:color w:val="444444"/>
          <w:lang w:eastAsia="es-ES"/>
        </w:rPr>
      </w:pPr>
      <w:r>
        <w:rPr>
          <w:rFonts w:ascii="Helvetica" w:eastAsia="Times New Roman" w:hAnsi="Helvetica" w:cs="Helvetica"/>
          <w:color w:val="444444"/>
          <w:lang w:eastAsia="es-ES"/>
        </w:rPr>
        <w:t xml:space="preserve">Inspección </w:t>
      </w:r>
      <w:r w:rsidR="00D42B2F">
        <w:rPr>
          <w:rFonts w:ascii="Helvetica" w:eastAsia="Times New Roman" w:hAnsi="Helvetica" w:cs="Helvetica"/>
          <w:color w:val="444444"/>
          <w:lang w:eastAsia="es-ES"/>
        </w:rPr>
        <w:t>visual</w:t>
      </w:r>
      <w:r>
        <w:rPr>
          <w:rFonts w:ascii="Helvetica" w:eastAsia="Times New Roman" w:hAnsi="Helvetica" w:cs="Helvetica"/>
          <w:color w:val="444444"/>
          <w:lang w:eastAsia="es-ES"/>
        </w:rPr>
        <w:t xml:space="preserve"> de se</w:t>
      </w:r>
      <w:r w:rsidR="002D6DE7">
        <w:rPr>
          <w:rFonts w:ascii="Helvetica" w:eastAsia="Times New Roman" w:hAnsi="Helvetica" w:cs="Helvetica"/>
          <w:color w:val="444444"/>
          <w:lang w:eastAsia="es-ES"/>
        </w:rPr>
        <w:t>guros, precintos, inscripciones</w:t>
      </w:r>
      <w:r>
        <w:rPr>
          <w:rFonts w:ascii="Helvetica" w:eastAsia="Times New Roman" w:hAnsi="Helvetica" w:cs="Helvetica"/>
          <w:color w:val="444444"/>
          <w:lang w:eastAsia="es-ES"/>
        </w:rPr>
        <w:t>, etc.</w:t>
      </w:r>
    </w:p>
    <w:p w:rsidR="005436F0" w:rsidRDefault="00D42B2F" w:rsidP="00B604C5">
      <w:pPr>
        <w:spacing w:after="360" w:line="240" w:lineRule="auto"/>
        <w:jc w:val="both"/>
        <w:rPr>
          <w:rFonts w:ascii="Helvetica" w:eastAsia="Times New Roman" w:hAnsi="Helvetica" w:cs="Helvetica"/>
          <w:color w:val="444444"/>
          <w:lang w:eastAsia="es-ES"/>
        </w:rPr>
      </w:pPr>
      <w:r>
        <w:rPr>
          <w:rFonts w:ascii="Helvetica" w:eastAsia="Times New Roman" w:hAnsi="Helvetica" w:cs="Helvetica"/>
          <w:color w:val="444444"/>
          <w:lang w:eastAsia="es-ES"/>
        </w:rPr>
        <w:t>Verificación</w:t>
      </w:r>
      <w:r w:rsidR="005436F0">
        <w:rPr>
          <w:rFonts w:ascii="Helvetica" w:eastAsia="Times New Roman" w:hAnsi="Helvetica" w:cs="Helvetica"/>
          <w:color w:val="444444"/>
          <w:lang w:eastAsia="es-ES"/>
        </w:rPr>
        <w:t xml:space="preserve"> del peso y presión en su caso.</w:t>
      </w:r>
    </w:p>
    <w:p w:rsidR="005436F0" w:rsidRDefault="00D42B2F" w:rsidP="00B604C5">
      <w:pPr>
        <w:spacing w:after="360" w:line="240" w:lineRule="auto"/>
        <w:jc w:val="both"/>
        <w:rPr>
          <w:rFonts w:ascii="Helvetica" w:eastAsia="Times New Roman" w:hAnsi="Helvetica" w:cs="Helvetica"/>
          <w:color w:val="444444"/>
          <w:lang w:eastAsia="es-ES"/>
        </w:rPr>
      </w:pPr>
      <w:r>
        <w:rPr>
          <w:rFonts w:ascii="Helvetica" w:eastAsia="Times New Roman" w:hAnsi="Helvetica" w:cs="Helvetica"/>
          <w:color w:val="444444"/>
          <w:lang w:eastAsia="es-ES"/>
        </w:rPr>
        <w:t>Revisión</w:t>
      </w:r>
      <w:r w:rsidR="005436F0">
        <w:rPr>
          <w:rFonts w:ascii="Helvetica" w:eastAsia="Times New Roman" w:hAnsi="Helvetica" w:cs="Helvetica"/>
          <w:color w:val="444444"/>
          <w:lang w:eastAsia="es-ES"/>
        </w:rPr>
        <w:t xml:space="preserve"> del estado externo de las partes mecánicas /bo</w:t>
      </w:r>
      <w:r w:rsidR="002D4750">
        <w:rPr>
          <w:rFonts w:ascii="Helvetica" w:eastAsia="Times New Roman" w:hAnsi="Helvetica" w:cs="Helvetica"/>
          <w:color w:val="444444"/>
          <w:lang w:eastAsia="es-ES"/>
        </w:rPr>
        <w:t xml:space="preserve">quilla, válvula, manguera, </w:t>
      </w:r>
      <w:proofErr w:type="spellStart"/>
      <w:r w:rsidR="002D4750">
        <w:rPr>
          <w:rFonts w:ascii="Helvetica" w:eastAsia="Times New Roman" w:hAnsi="Helvetica" w:cs="Helvetica"/>
          <w:color w:val="444444"/>
          <w:lang w:eastAsia="es-ES"/>
        </w:rPr>
        <w:t>etc</w:t>
      </w:r>
      <w:proofErr w:type="spellEnd"/>
      <w:r w:rsidR="002D4750">
        <w:rPr>
          <w:rFonts w:ascii="Helvetica" w:eastAsia="Times New Roman" w:hAnsi="Helvetica" w:cs="Helvetica"/>
          <w:color w:val="444444"/>
          <w:lang w:eastAsia="es-ES"/>
        </w:rPr>
        <w:t>,</w:t>
      </w:r>
      <w:r w:rsidR="005436F0">
        <w:rPr>
          <w:rFonts w:ascii="Helvetica" w:eastAsia="Times New Roman" w:hAnsi="Helvetica" w:cs="Helvetica"/>
          <w:color w:val="444444"/>
          <w:lang w:eastAsia="es-ES"/>
        </w:rPr>
        <w:t>)</w:t>
      </w:r>
    </w:p>
    <w:p w:rsidR="00B604C5" w:rsidRPr="002D4750" w:rsidRDefault="00B604C5" w:rsidP="00B604C5">
      <w:pPr>
        <w:spacing w:after="360" w:line="240" w:lineRule="auto"/>
        <w:jc w:val="both"/>
        <w:rPr>
          <w:rFonts w:ascii="Helvetica" w:eastAsia="Times New Roman" w:hAnsi="Helvetica" w:cs="Helvetica"/>
          <w:b/>
          <w:color w:val="444444"/>
          <w:lang w:eastAsia="es-ES"/>
        </w:rPr>
      </w:pPr>
      <w:r w:rsidRPr="002D4750">
        <w:rPr>
          <w:rFonts w:ascii="Helvetica" w:eastAsia="Times New Roman" w:hAnsi="Helvetica" w:cs="Helvetica"/>
          <w:b/>
          <w:color w:val="444444"/>
          <w:lang w:eastAsia="es-ES"/>
        </w:rPr>
        <w:t>Cada año:</w:t>
      </w:r>
    </w:p>
    <w:p w:rsidR="00B604C5" w:rsidRDefault="00B604C5" w:rsidP="00B604C5">
      <w:pPr>
        <w:spacing w:after="360" w:line="240" w:lineRule="auto"/>
        <w:jc w:val="both"/>
        <w:rPr>
          <w:rFonts w:ascii="Helvetica" w:eastAsia="Times New Roman" w:hAnsi="Helvetica" w:cs="Helvetica"/>
          <w:color w:val="444444"/>
          <w:lang w:eastAsia="es-ES"/>
        </w:rPr>
      </w:pPr>
      <w:r>
        <w:rPr>
          <w:rFonts w:ascii="Helvetica" w:eastAsia="Times New Roman" w:hAnsi="Helvetica" w:cs="Helvetica"/>
          <w:color w:val="444444"/>
          <w:lang w:eastAsia="es-ES"/>
        </w:rPr>
        <w:t>Comprobación del peso y presión en su caso.</w:t>
      </w:r>
    </w:p>
    <w:p w:rsidR="00B604C5" w:rsidRDefault="00B604C5" w:rsidP="00B604C5">
      <w:pPr>
        <w:spacing w:after="360" w:line="240" w:lineRule="auto"/>
        <w:jc w:val="both"/>
        <w:rPr>
          <w:rFonts w:ascii="Helvetica" w:eastAsia="Times New Roman" w:hAnsi="Helvetica" w:cs="Helvetica"/>
          <w:color w:val="444444"/>
          <w:lang w:eastAsia="es-ES"/>
        </w:rPr>
      </w:pPr>
      <w:r>
        <w:rPr>
          <w:rFonts w:ascii="Helvetica" w:eastAsia="Times New Roman" w:hAnsi="Helvetica" w:cs="Helvetica"/>
          <w:color w:val="444444"/>
          <w:lang w:eastAsia="es-ES"/>
        </w:rPr>
        <w:t xml:space="preserve">Inspección </w:t>
      </w:r>
      <w:r w:rsidR="00D42B2F">
        <w:rPr>
          <w:rFonts w:ascii="Helvetica" w:eastAsia="Times New Roman" w:hAnsi="Helvetica" w:cs="Helvetica"/>
          <w:color w:val="444444"/>
          <w:lang w:eastAsia="es-ES"/>
        </w:rPr>
        <w:t>visual</w:t>
      </w:r>
      <w:bookmarkStart w:id="0" w:name="_GoBack"/>
      <w:bookmarkEnd w:id="0"/>
      <w:r>
        <w:rPr>
          <w:rFonts w:ascii="Helvetica" w:eastAsia="Times New Roman" w:hAnsi="Helvetica" w:cs="Helvetica"/>
          <w:color w:val="444444"/>
          <w:lang w:eastAsia="es-ES"/>
        </w:rPr>
        <w:t xml:space="preserve"> del estado de la manguera, boquilla o lanza, válvulas y partes mecánicas.</w:t>
      </w:r>
    </w:p>
    <w:p w:rsidR="005436F0" w:rsidRDefault="005436F0" w:rsidP="00B604C5">
      <w:pPr>
        <w:spacing w:after="360" w:line="240" w:lineRule="auto"/>
        <w:jc w:val="both"/>
        <w:rPr>
          <w:rFonts w:ascii="Helvetica" w:eastAsia="Times New Roman" w:hAnsi="Helvetica" w:cs="Helvetica"/>
          <w:color w:val="444444"/>
          <w:lang w:eastAsia="es-ES"/>
        </w:rPr>
      </w:pPr>
      <w:r>
        <w:rPr>
          <w:rFonts w:ascii="Helvetica" w:eastAsia="Times New Roman" w:hAnsi="Helvetica" w:cs="Helvetica"/>
          <w:color w:val="444444"/>
          <w:lang w:eastAsia="es-ES"/>
        </w:rPr>
        <w:t>Nota. En esta revisión anual no será necesaria la apertura de los extintores portátiles de polvo con presión permanente, salvo que en la</w:t>
      </w:r>
      <w:r w:rsidR="00081563">
        <w:rPr>
          <w:rFonts w:ascii="Helvetica" w:eastAsia="Times New Roman" w:hAnsi="Helvetica" w:cs="Helvetica"/>
          <w:color w:val="444444"/>
          <w:lang w:eastAsia="es-ES"/>
        </w:rPr>
        <w:t>s comprobaciones que se citan s</w:t>
      </w:r>
      <w:r>
        <w:rPr>
          <w:rFonts w:ascii="Helvetica" w:eastAsia="Times New Roman" w:hAnsi="Helvetica" w:cs="Helvetica"/>
          <w:color w:val="444444"/>
          <w:lang w:eastAsia="es-ES"/>
        </w:rPr>
        <w:t>e hayan observado anomalías que lo justifique.</w:t>
      </w:r>
    </w:p>
    <w:p w:rsidR="005436F0" w:rsidRDefault="005436F0" w:rsidP="00B604C5">
      <w:pPr>
        <w:spacing w:after="360" w:line="240" w:lineRule="auto"/>
        <w:jc w:val="both"/>
        <w:rPr>
          <w:rFonts w:ascii="Helvetica" w:eastAsia="Times New Roman" w:hAnsi="Helvetica" w:cs="Helvetica"/>
          <w:color w:val="444444"/>
          <w:lang w:eastAsia="es-ES"/>
        </w:rPr>
      </w:pPr>
      <w:r>
        <w:rPr>
          <w:rFonts w:ascii="Helvetica" w:eastAsia="Times New Roman" w:hAnsi="Helvetica" w:cs="Helvetica"/>
          <w:color w:val="444444"/>
          <w:lang w:eastAsia="es-ES"/>
        </w:rPr>
        <w:t>En el caso de apertura del extintor, la empresa mantenedora situará en el exterior del mismo un sistema indicativo que acredite que se ha realizado la revisión interior del aparato. Como ejemplo de sistema indicativo de que se ha realizado la apertura</w:t>
      </w:r>
      <w:r w:rsidR="006C4C4B">
        <w:rPr>
          <w:rFonts w:ascii="Helvetica" w:eastAsia="Times New Roman" w:hAnsi="Helvetica" w:cs="Helvetica"/>
          <w:color w:val="444444"/>
          <w:lang w:eastAsia="es-ES"/>
        </w:rPr>
        <w:t xml:space="preserve"> y revisión interior del extintor, se puede utilizar una etiqueta indeleble e forma de anillo, que se coloca en el cuello de la botella antes del cierre del extintor y que no pueda ser retirada sin que se produzca la destrucción o deterioro de la misma.</w:t>
      </w:r>
    </w:p>
    <w:p w:rsidR="002D4750" w:rsidRDefault="002D4750" w:rsidP="00B604C5">
      <w:pPr>
        <w:spacing w:after="360" w:line="240" w:lineRule="auto"/>
        <w:jc w:val="both"/>
        <w:rPr>
          <w:rFonts w:ascii="Helvetica" w:eastAsia="Times New Roman" w:hAnsi="Helvetica" w:cs="Helvetica"/>
          <w:color w:val="444444"/>
          <w:lang w:eastAsia="es-ES"/>
        </w:rPr>
      </w:pPr>
    </w:p>
    <w:p w:rsidR="002D4750" w:rsidRDefault="002D4750" w:rsidP="00B604C5">
      <w:pPr>
        <w:spacing w:after="360" w:line="240" w:lineRule="auto"/>
        <w:jc w:val="both"/>
        <w:rPr>
          <w:rFonts w:ascii="Helvetica" w:eastAsia="Times New Roman" w:hAnsi="Helvetica" w:cs="Helvetica"/>
          <w:color w:val="444444"/>
          <w:lang w:eastAsia="es-ES"/>
        </w:rPr>
      </w:pPr>
    </w:p>
    <w:p w:rsidR="002D4750" w:rsidRDefault="002D4750" w:rsidP="00B604C5">
      <w:pPr>
        <w:spacing w:after="360" w:line="240" w:lineRule="auto"/>
        <w:jc w:val="both"/>
        <w:rPr>
          <w:rFonts w:ascii="Helvetica" w:eastAsia="Times New Roman" w:hAnsi="Helvetica" w:cs="Helvetica"/>
          <w:color w:val="444444"/>
          <w:lang w:eastAsia="es-ES"/>
        </w:rPr>
      </w:pPr>
    </w:p>
    <w:p w:rsidR="006C4C4B" w:rsidRPr="002D4750" w:rsidRDefault="006C4C4B" w:rsidP="00B604C5">
      <w:pPr>
        <w:spacing w:after="360" w:line="240" w:lineRule="auto"/>
        <w:jc w:val="both"/>
        <w:rPr>
          <w:rFonts w:ascii="Helvetica" w:eastAsia="Times New Roman" w:hAnsi="Helvetica" w:cs="Helvetica"/>
          <w:b/>
          <w:color w:val="444444"/>
          <w:lang w:eastAsia="es-ES"/>
        </w:rPr>
      </w:pPr>
      <w:r w:rsidRPr="002D4750">
        <w:rPr>
          <w:rFonts w:ascii="Helvetica" w:eastAsia="Times New Roman" w:hAnsi="Helvetica" w:cs="Helvetica"/>
          <w:b/>
          <w:color w:val="444444"/>
          <w:lang w:eastAsia="es-ES"/>
        </w:rPr>
        <w:lastRenderedPageBreak/>
        <w:t>Cada cinco años:</w:t>
      </w:r>
    </w:p>
    <w:p w:rsidR="006C4C4B" w:rsidRDefault="006C4C4B" w:rsidP="00B604C5">
      <w:pPr>
        <w:spacing w:after="360" w:line="240" w:lineRule="auto"/>
        <w:jc w:val="both"/>
        <w:rPr>
          <w:rFonts w:ascii="Helvetica" w:eastAsia="Times New Roman" w:hAnsi="Helvetica" w:cs="Helvetica"/>
          <w:color w:val="444444"/>
          <w:lang w:eastAsia="es-ES"/>
        </w:rPr>
      </w:pPr>
      <w:r>
        <w:rPr>
          <w:rFonts w:ascii="Helvetica" w:eastAsia="Times New Roman" w:hAnsi="Helvetica" w:cs="Helvetica"/>
          <w:color w:val="444444"/>
          <w:lang w:eastAsia="es-ES"/>
        </w:rPr>
        <w:t xml:space="preserve">A partir de la fecha de timbrado del extintor (y por tres veces, ya que la vida útil del extintor es de 20 años, a partir de la cual hay que desecharlo); se procede al </w:t>
      </w:r>
      <w:proofErr w:type="spellStart"/>
      <w:r>
        <w:rPr>
          <w:rFonts w:ascii="Helvetica" w:eastAsia="Times New Roman" w:hAnsi="Helvetica" w:cs="Helvetica"/>
          <w:color w:val="444444"/>
          <w:lang w:eastAsia="es-ES"/>
        </w:rPr>
        <w:t>retimbrado</w:t>
      </w:r>
      <w:proofErr w:type="spellEnd"/>
      <w:r>
        <w:rPr>
          <w:rFonts w:ascii="Helvetica" w:eastAsia="Times New Roman" w:hAnsi="Helvetica" w:cs="Helvetica"/>
          <w:color w:val="444444"/>
          <w:lang w:eastAsia="es-ES"/>
        </w:rPr>
        <w:t xml:space="preserve"> del mismo de acuerdo con la ITC-MIE-AP5 del Reglamento de aparatos a presión sobre extintores de incendios.</w:t>
      </w:r>
    </w:p>
    <w:p w:rsidR="006C4C4B" w:rsidRDefault="006C4C4B" w:rsidP="00B604C5">
      <w:pPr>
        <w:spacing w:after="360" w:line="240" w:lineRule="auto"/>
        <w:jc w:val="both"/>
        <w:rPr>
          <w:rFonts w:ascii="Helvetica" w:eastAsia="Times New Roman" w:hAnsi="Helvetica" w:cs="Helvetica"/>
          <w:color w:val="444444"/>
          <w:lang w:eastAsia="es-ES"/>
        </w:rPr>
      </w:pPr>
    </w:p>
    <w:p w:rsidR="006C4C4B" w:rsidRPr="002D4750" w:rsidRDefault="006C4C4B" w:rsidP="00B604C5">
      <w:pPr>
        <w:spacing w:after="360" w:line="240" w:lineRule="auto"/>
        <w:jc w:val="both"/>
        <w:rPr>
          <w:rFonts w:ascii="Helvetica" w:eastAsia="Times New Roman" w:hAnsi="Helvetica" w:cs="Helvetica"/>
          <w:b/>
          <w:color w:val="444444"/>
          <w:lang w:eastAsia="es-ES"/>
        </w:rPr>
      </w:pPr>
      <w:r w:rsidRPr="002D4750">
        <w:rPr>
          <w:rFonts w:ascii="Helvetica" w:eastAsia="Times New Roman" w:hAnsi="Helvetica" w:cs="Helvetica"/>
          <w:b/>
          <w:color w:val="444444"/>
          <w:lang w:eastAsia="es-ES"/>
        </w:rPr>
        <w:t>Rechazo:</w:t>
      </w:r>
    </w:p>
    <w:p w:rsidR="006C4C4B" w:rsidRDefault="006C4C4B" w:rsidP="00B604C5">
      <w:pPr>
        <w:spacing w:after="360" w:line="240" w:lineRule="auto"/>
        <w:jc w:val="both"/>
        <w:rPr>
          <w:rFonts w:ascii="Helvetica" w:eastAsia="Times New Roman" w:hAnsi="Helvetica" w:cs="Helvetica"/>
          <w:color w:val="444444"/>
          <w:lang w:eastAsia="es-ES"/>
        </w:rPr>
      </w:pPr>
      <w:r>
        <w:rPr>
          <w:rFonts w:ascii="Helvetica" w:eastAsia="Times New Roman" w:hAnsi="Helvetica" w:cs="Helvetica"/>
          <w:color w:val="444444"/>
          <w:lang w:eastAsia="es-ES"/>
        </w:rPr>
        <w:t>Se rechazarán aquellos extintores que, a juicio de la empresa mantenedora presenten defectos que pongan en duda el correcto funcionamiento y la seguridad del extintor o bien aquellos para lo</w:t>
      </w:r>
      <w:r w:rsidR="002D4750">
        <w:rPr>
          <w:rFonts w:ascii="Helvetica" w:eastAsia="Times New Roman" w:hAnsi="Helvetica" w:cs="Helvetica"/>
          <w:color w:val="444444"/>
          <w:lang w:eastAsia="es-ES"/>
        </w:rPr>
        <w:t>s que no existan piezas ori</w:t>
      </w:r>
      <w:r>
        <w:rPr>
          <w:rFonts w:ascii="Helvetica" w:eastAsia="Times New Roman" w:hAnsi="Helvetica" w:cs="Helvetica"/>
          <w:color w:val="444444"/>
          <w:lang w:eastAsia="es-ES"/>
        </w:rPr>
        <w:t>ginales que garanticen el mantenimiento de las condiciones de fabricación.</w:t>
      </w:r>
    </w:p>
    <w:p w:rsidR="005436F0" w:rsidRPr="00B604C5" w:rsidRDefault="005436F0" w:rsidP="00B604C5">
      <w:pPr>
        <w:spacing w:after="360" w:line="240" w:lineRule="auto"/>
        <w:jc w:val="both"/>
        <w:rPr>
          <w:rFonts w:ascii="Helvetica" w:eastAsia="Times New Roman" w:hAnsi="Helvetica" w:cs="Helvetica"/>
          <w:color w:val="444444"/>
          <w:lang w:eastAsia="es-ES"/>
        </w:rPr>
      </w:pPr>
    </w:p>
    <w:sectPr w:rsidR="005436F0" w:rsidRPr="00B604C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846"/>
    <w:rsid w:val="00081563"/>
    <w:rsid w:val="002D4750"/>
    <w:rsid w:val="002D6DE7"/>
    <w:rsid w:val="005436F0"/>
    <w:rsid w:val="00575846"/>
    <w:rsid w:val="006C4C4B"/>
    <w:rsid w:val="009150DE"/>
    <w:rsid w:val="00B604C5"/>
    <w:rsid w:val="00D42B2F"/>
    <w:rsid w:val="00D73D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CFCAB-D437-4684-928B-64F97EEB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75846"/>
    <w:rPr>
      <w:color w:val="21759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245689">
      <w:bodyDiv w:val="1"/>
      <w:marLeft w:val="0"/>
      <w:marRight w:val="0"/>
      <w:marTop w:val="0"/>
      <w:marBottom w:val="0"/>
      <w:divBdr>
        <w:top w:val="none" w:sz="0" w:space="0" w:color="auto"/>
        <w:left w:val="none" w:sz="0" w:space="0" w:color="auto"/>
        <w:bottom w:val="none" w:sz="0" w:space="0" w:color="auto"/>
        <w:right w:val="none" w:sz="0" w:space="0" w:color="auto"/>
      </w:divBdr>
      <w:divsChild>
        <w:div w:id="1385060705">
          <w:marLeft w:val="0"/>
          <w:marRight w:val="0"/>
          <w:marTop w:val="0"/>
          <w:marBottom w:val="0"/>
          <w:divBdr>
            <w:top w:val="none" w:sz="0" w:space="0" w:color="auto"/>
            <w:left w:val="none" w:sz="0" w:space="0" w:color="auto"/>
            <w:bottom w:val="none" w:sz="0" w:space="0" w:color="auto"/>
            <w:right w:val="none" w:sz="0" w:space="0" w:color="auto"/>
          </w:divBdr>
          <w:divsChild>
            <w:div w:id="741832154">
              <w:marLeft w:val="0"/>
              <w:marRight w:val="0"/>
              <w:marTop w:val="0"/>
              <w:marBottom w:val="0"/>
              <w:divBdr>
                <w:top w:val="none" w:sz="0" w:space="0" w:color="auto"/>
                <w:left w:val="none" w:sz="0" w:space="0" w:color="auto"/>
                <w:bottom w:val="none" w:sz="0" w:space="0" w:color="auto"/>
                <w:right w:val="none" w:sz="0" w:space="0" w:color="auto"/>
              </w:divBdr>
              <w:divsChild>
                <w:div w:id="618027429">
                  <w:marLeft w:val="0"/>
                  <w:marRight w:val="0"/>
                  <w:marTop w:val="360"/>
                  <w:marBottom w:val="0"/>
                  <w:divBdr>
                    <w:top w:val="none" w:sz="0" w:space="0" w:color="auto"/>
                    <w:left w:val="none" w:sz="0" w:space="0" w:color="auto"/>
                    <w:bottom w:val="none" w:sz="0" w:space="0" w:color="auto"/>
                    <w:right w:val="none" w:sz="0" w:space="0" w:color="auto"/>
                  </w:divBdr>
                  <w:divsChild>
                    <w:div w:id="993144613">
                      <w:marLeft w:val="0"/>
                      <w:marRight w:val="0"/>
                      <w:marTop w:val="0"/>
                      <w:marBottom w:val="0"/>
                      <w:divBdr>
                        <w:top w:val="none" w:sz="0" w:space="0" w:color="auto"/>
                        <w:left w:val="none" w:sz="0" w:space="0" w:color="auto"/>
                        <w:bottom w:val="none" w:sz="0" w:space="0" w:color="auto"/>
                        <w:right w:val="none" w:sz="0" w:space="0" w:color="auto"/>
                      </w:divBdr>
                      <w:divsChild>
                        <w:div w:id="27887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1</Pages>
  <Words>347</Words>
  <Characters>1910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dc:creator>
  <cp:keywords/>
  <dc:description/>
  <cp:lastModifiedBy>Juan</cp:lastModifiedBy>
  <cp:revision>5</cp:revision>
  <dcterms:created xsi:type="dcterms:W3CDTF">2016-03-07T10:08:00Z</dcterms:created>
  <dcterms:modified xsi:type="dcterms:W3CDTF">2016-03-08T08:22:00Z</dcterms:modified>
</cp:coreProperties>
</file>